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B1" w:rsidRDefault="006905B1" w:rsidP="00D13E4B">
      <w:pPr>
        <w:spacing w:after="0" w:line="480" w:lineRule="auto"/>
        <w:jc w:val="center"/>
      </w:pPr>
      <w:bookmarkStart w:id="0" w:name="_GoBack"/>
      <w:bookmarkEnd w:id="0"/>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76400A" w:rsidP="0076400A">
      <w:pPr>
        <w:spacing w:after="0" w:line="480" w:lineRule="auto"/>
      </w:pPr>
      <w:r>
        <w:t xml:space="preserve">                                                                  MEMO</w:t>
      </w:r>
    </w:p>
    <w:p w:rsidR="006905B1" w:rsidRDefault="006905B1" w:rsidP="00D13E4B">
      <w:pPr>
        <w:spacing w:after="0" w:line="480" w:lineRule="auto"/>
        <w:jc w:val="center"/>
      </w:pPr>
      <w:r>
        <w:t>Student’s Name</w:t>
      </w:r>
    </w:p>
    <w:p w:rsidR="006905B1" w:rsidRDefault="006905B1" w:rsidP="00D13E4B">
      <w:pPr>
        <w:spacing w:after="0" w:line="480" w:lineRule="auto"/>
        <w:jc w:val="center"/>
      </w:pPr>
      <w:r>
        <w:t>School’s Name</w:t>
      </w:r>
      <w:r>
        <w:br w:type="page"/>
      </w:r>
    </w:p>
    <w:p w:rsidR="0076400A" w:rsidRPr="00B269E7" w:rsidRDefault="0076400A" w:rsidP="0076400A">
      <w:pPr>
        <w:spacing w:line="240" w:lineRule="auto"/>
        <w:rPr>
          <w:rFonts w:cs="Times New Roman"/>
          <w:szCs w:val="24"/>
        </w:rPr>
      </w:pPr>
      <w:r w:rsidRPr="00B269E7">
        <w:rPr>
          <w:rFonts w:cs="Times New Roman"/>
          <w:szCs w:val="24"/>
        </w:rPr>
        <w:lastRenderedPageBreak/>
        <w:t>MEMO</w:t>
      </w:r>
    </w:p>
    <w:p w:rsidR="0076400A" w:rsidRPr="00B269E7" w:rsidRDefault="0076400A" w:rsidP="0076400A">
      <w:pPr>
        <w:spacing w:line="240" w:lineRule="auto"/>
        <w:rPr>
          <w:rFonts w:cs="Times New Roman"/>
          <w:szCs w:val="24"/>
        </w:rPr>
      </w:pPr>
      <w:r w:rsidRPr="00B269E7">
        <w:rPr>
          <w:rFonts w:cs="Times New Roman"/>
          <w:szCs w:val="24"/>
        </w:rPr>
        <w:t>TO: Chief Nursing Officer</w:t>
      </w:r>
    </w:p>
    <w:p w:rsidR="0076400A" w:rsidRPr="00B269E7" w:rsidRDefault="0076400A" w:rsidP="0076400A">
      <w:pPr>
        <w:spacing w:line="240" w:lineRule="auto"/>
        <w:rPr>
          <w:rFonts w:cs="Times New Roman"/>
          <w:szCs w:val="24"/>
        </w:rPr>
      </w:pPr>
      <w:r w:rsidRPr="00B269E7">
        <w:rPr>
          <w:rFonts w:cs="Times New Roman"/>
          <w:szCs w:val="24"/>
        </w:rPr>
        <w:t>FROM:</w:t>
      </w:r>
    </w:p>
    <w:p w:rsidR="0076400A" w:rsidRPr="00B269E7" w:rsidRDefault="0076400A" w:rsidP="0076400A">
      <w:pPr>
        <w:spacing w:line="240" w:lineRule="auto"/>
        <w:rPr>
          <w:rFonts w:cs="Times New Roman"/>
          <w:szCs w:val="24"/>
        </w:rPr>
      </w:pPr>
      <w:r w:rsidRPr="00B269E7">
        <w:rPr>
          <w:rFonts w:cs="Times New Roman"/>
          <w:szCs w:val="24"/>
        </w:rPr>
        <w:t xml:space="preserve">SUBJECT: Prevention and Management of Heel Ulcerations </w:t>
      </w:r>
    </w:p>
    <w:p w:rsidR="0076400A" w:rsidRPr="00B269E7" w:rsidRDefault="0076400A" w:rsidP="0076400A">
      <w:pPr>
        <w:spacing w:line="240" w:lineRule="auto"/>
        <w:rPr>
          <w:rFonts w:cs="Times New Roman"/>
          <w:szCs w:val="24"/>
        </w:rPr>
      </w:pPr>
      <w:r w:rsidRPr="00B269E7">
        <w:rPr>
          <w:rFonts w:cs="Times New Roman"/>
          <w:szCs w:val="24"/>
        </w:rPr>
        <w:t>DATE: 10/16/2018</w:t>
      </w:r>
    </w:p>
    <w:p w:rsidR="0076400A" w:rsidRPr="00B269E7" w:rsidRDefault="0076400A" w:rsidP="0076400A">
      <w:pPr>
        <w:spacing w:line="240" w:lineRule="auto"/>
        <w:rPr>
          <w:rFonts w:cs="Times New Roman"/>
          <w:szCs w:val="24"/>
        </w:rPr>
      </w:pPr>
      <w:r w:rsidRPr="00B269E7">
        <w:rPr>
          <w:rFonts w:cs="Times New Roman"/>
          <w:szCs w:val="24"/>
        </w:rPr>
        <w:t>Background</w:t>
      </w:r>
    </w:p>
    <w:p w:rsidR="0076400A" w:rsidRPr="00B269E7" w:rsidRDefault="0076400A" w:rsidP="0076400A">
      <w:pPr>
        <w:spacing w:line="240" w:lineRule="auto"/>
        <w:rPr>
          <w:rFonts w:cs="Times New Roman"/>
          <w:szCs w:val="24"/>
        </w:rPr>
      </w:pPr>
      <w:r w:rsidRPr="00B269E7">
        <w:rPr>
          <w:rFonts w:cs="Times New Roman"/>
          <w:szCs w:val="24"/>
        </w:rPr>
        <w:t xml:space="preserve">The purpose of this memo is to point out the high incidence of heel ulceration in this hospital as well as to task your office with identification of specific process changes that could be implemented in order to achieve 80 to 90 percent reliability in preventing and managing heel ulcerations. Reliability has been described as the extent to which a strategy or a measure portrays the true result </w:t>
      </w:r>
      <w:sdt>
        <w:sdtPr>
          <w:rPr>
            <w:rFonts w:cs="Times New Roman"/>
            <w:szCs w:val="24"/>
          </w:rPr>
          <w:id w:val="-517311868"/>
          <w:citation/>
        </w:sdtPr>
        <w:sdtEndPr/>
        <w:sdtContent>
          <w:r w:rsidRPr="00B269E7">
            <w:rPr>
              <w:rFonts w:cs="Times New Roman"/>
              <w:szCs w:val="24"/>
            </w:rPr>
            <w:fldChar w:fldCharType="begin"/>
          </w:r>
          <w:r w:rsidRPr="00B269E7">
            <w:rPr>
              <w:rFonts w:cs="Times New Roman"/>
              <w:szCs w:val="24"/>
            </w:rPr>
            <w:instrText xml:space="preserve"> CITATION Vit14 \l 1033 </w:instrText>
          </w:r>
          <w:r w:rsidRPr="00B269E7">
            <w:rPr>
              <w:rFonts w:cs="Times New Roman"/>
              <w:szCs w:val="24"/>
            </w:rPr>
            <w:fldChar w:fldCharType="separate"/>
          </w:r>
          <w:r w:rsidRPr="00B269E7">
            <w:rPr>
              <w:rFonts w:cs="Times New Roman"/>
              <w:noProof/>
              <w:szCs w:val="24"/>
            </w:rPr>
            <w:t>(Vituri &amp; Évora, 2014)</w:t>
          </w:r>
          <w:r w:rsidRPr="00B269E7">
            <w:rPr>
              <w:rFonts w:cs="Times New Roman"/>
              <w:szCs w:val="24"/>
            </w:rPr>
            <w:fldChar w:fldCharType="end"/>
          </w:r>
        </w:sdtContent>
      </w:sdt>
      <w:r w:rsidRPr="00B269E7">
        <w:rPr>
          <w:rFonts w:cs="Times New Roman"/>
          <w:szCs w:val="24"/>
        </w:rPr>
        <w:t>. Pressure ulcers are</w:t>
      </w:r>
      <w:r>
        <w:rPr>
          <w:rFonts w:cs="Times New Roman"/>
          <w:szCs w:val="24"/>
        </w:rPr>
        <w:t xml:space="preserve"> the</w:t>
      </w:r>
      <w:r w:rsidRPr="00B269E7">
        <w:rPr>
          <w:rFonts w:cs="Times New Roman"/>
          <w:szCs w:val="24"/>
        </w:rPr>
        <w:t xml:space="preserve"> common</w:t>
      </w:r>
      <w:r>
        <w:rPr>
          <w:rFonts w:cs="Times New Roman"/>
          <w:szCs w:val="24"/>
        </w:rPr>
        <w:t>est type of heel ulcers</w:t>
      </w:r>
      <w:r w:rsidRPr="00B269E7">
        <w:rPr>
          <w:rFonts w:cs="Times New Roman"/>
          <w:szCs w:val="24"/>
        </w:rPr>
        <w:t xml:space="preserve"> in hospitals that have inpatient care. Studies have correctly observed that pressure ulcers involving the heel are quite common and that the heel is the second commonest site for pressure ulcers </w:t>
      </w:r>
      <w:sdt>
        <w:sdtPr>
          <w:rPr>
            <w:rFonts w:cs="Times New Roman"/>
            <w:szCs w:val="24"/>
          </w:rPr>
          <w:id w:val="448819991"/>
          <w:citation/>
        </w:sdtPr>
        <w:sdtEndPr/>
        <w:sdtContent>
          <w:r w:rsidRPr="00B269E7">
            <w:rPr>
              <w:rFonts w:cs="Times New Roman"/>
              <w:szCs w:val="24"/>
            </w:rPr>
            <w:fldChar w:fldCharType="begin"/>
          </w:r>
          <w:r w:rsidRPr="00B269E7">
            <w:rPr>
              <w:rFonts w:cs="Times New Roman"/>
              <w:szCs w:val="24"/>
            </w:rPr>
            <w:instrText xml:space="preserve"> CITATION NMo12 \l 1033 </w:instrText>
          </w:r>
          <w:r w:rsidRPr="00B269E7">
            <w:rPr>
              <w:rFonts w:cs="Times New Roman"/>
              <w:szCs w:val="24"/>
            </w:rPr>
            <w:fldChar w:fldCharType="separate"/>
          </w:r>
          <w:r w:rsidRPr="00B269E7">
            <w:rPr>
              <w:rFonts w:cs="Times New Roman"/>
              <w:noProof/>
              <w:szCs w:val="24"/>
            </w:rPr>
            <w:t>(N, 2012)</w:t>
          </w:r>
          <w:r w:rsidRPr="00B269E7">
            <w:rPr>
              <w:rFonts w:cs="Times New Roman"/>
              <w:szCs w:val="24"/>
            </w:rPr>
            <w:fldChar w:fldCharType="end"/>
          </w:r>
        </w:sdtContent>
      </w:sdt>
      <w:r w:rsidRPr="00B269E7">
        <w:rPr>
          <w:rFonts w:cs="Times New Roman"/>
          <w:szCs w:val="24"/>
        </w:rPr>
        <w:t>. Despite the launching of an improvement project in this hospital, one year later, no tangible improvement has been noted. In the subsequent paragraphs lies specific suggestions that can change the process and see to it that heel ulcers are managed and prevented in a better way in this hospital.</w:t>
      </w:r>
    </w:p>
    <w:p w:rsidR="0076400A" w:rsidRPr="00B269E7" w:rsidRDefault="0076400A" w:rsidP="0076400A">
      <w:pPr>
        <w:spacing w:line="240" w:lineRule="auto"/>
        <w:rPr>
          <w:rFonts w:cs="Times New Roman"/>
          <w:szCs w:val="24"/>
        </w:rPr>
      </w:pPr>
      <w:r w:rsidRPr="00B269E7">
        <w:rPr>
          <w:rFonts w:cs="Times New Roman"/>
          <w:szCs w:val="24"/>
        </w:rPr>
        <w:t xml:space="preserve">One specific process change that has shown 80 to 90 percent reliability in preventing and managing heel ulcerations is the use of nerve growth factor as opposed to no nerve growth factor usage </w:t>
      </w:r>
      <w:sdt>
        <w:sdtPr>
          <w:rPr>
            <w:rFonts w:cs="Times New Roman"/>
            <w:szCs w:val="24"/>
          </w:rPr>
          <w:id w:val="1228335359"/>
          <w:citation/>
        </w:sdtPr>
        <w:sdtEndPr/>
        <w:sdtContent>
          <w:r w:rsidRPr="00B269E7">
            <w:rPr>
              <w:rFonts w:cs="Times New Roman"/>
              <w:szCs w:val="24"/>
            </w:rPr>
            <w:fldChar w:fldCharType="begin"/>
          </w:r>
          <w:r w:rsidRPr="00B269E7">
            <w:rPr>
              <w:rFonts w:cs="Times New Roman"/>
              <w:szCs w:val="24"/>
            </w:rPr>
            <w:instrText xml:space="preserve"> CITATION Nat14 \l 1033 </w:instrText>
          </w:r>
          <w:r w:rsidRPr="00B269E7">
            <w:rPr>
              <w:rFonts w:cs="Times New Roman"/>
              <w:szCs w:val="24"/>
            </w:rPr>
            <w:fldChar w:fldCharType="separate"/>
          </w:r>
          <w:r w:rsidRPr="00B269E7">
            <w:rPr>
              <w:rFonts w:cs="Times New Roman"/>
              <w:noProof/>
              <w:szCs w:val="24"/>
            </w:rPr>
            <w:t>(National Clinical Guideline Centre, 2014)</w:t>
          </w:r>
          <w:r w:rsidRPr="00B269E7">
            <w:rPr>
              <w:rFonts w:cs="Times New Roman"/>
              <w:szCs w:val="24"/>
            </w:rPr>
            <w:fldChar w:fldCharType="end"/>
          </w:r>
        </w:sdtContent>
      </w:sdt>
      <w:r w:rsidRPr="00B269E7">
        <w:rPr>
          <w:rFonts w:cs="Times New Roman"/>
          <w:szCs w:val="24"/>
        </w:rPr>
        <w:t>.  Use of nerve growth factor has especially been found to be very useful in the management of heel ulcers for old patients who often experience poor</w:t>
      </w:r>
      <w:r>
        <w:rPr>
          <w:rFonts w:cs="Times New Roman"/>
          <w:szCs w:val="24"/>
        </w:rPr>
        <w:t>er</w:t>
      </w:r>
      <w:r w:rsidRPr="00B269E7">
        <w:rPr>
          <w:rFonts w:cs="Times New Roman"/>
          <w:szCs w:val="24"/>
        </w:rPr>
        <w:t xml:space="preserve"> outcomes. Heel ulceration in older people has not only been associated with poorer outcomes but also higher rate</w:t>
      </w:r>
      <w:r>
        <w:rPr>
          <w:rFonts w:cs="Times New Roman"/>
          <w:szCs w:val="24"/>
        </w:rPr>
        <w:t>s</w:t>
      </w:r>
      <w:r w:rsidRPr="00B269E7">
        <w:rPr>
          <w:rFonts w:cs="Times New Roman"/>
          <w:szCs w:val="24"/>
        </w:rPr>
        <w:t xml:space="preserve"> of morbidity and mortality due to a battery of many factors that include poor immune response to superinfection</w:t>
      </w:r>
      <w:r>
        <w:rPr>
          <w:rFonts w:cs="Times New Roman"/>
          <w:szCs w:val="24"/>
        </w:rPr>
        <w:t>s</w:t>
      </w:r>
      <w:r w:rsidRPr="00B269E7">
        <w:rPr>
          <w:rFonts w:cs="Times New Roman"/>
          <w:szCs w:val="24"/>
        </w:rPr>
        <w:t>. In addition, old</w:t>
      </w:r>
      <w:r>
        <w:rPr>
          <w:rFonts w:cs="Times New Roman"/>
          <w:szCs w:val="24"/>
        </w:rPr>
        <w:t>er</w:t>
      </w:r>
      <w:r w:rsidRPr="00B269E7">
        <w:rPr>
          <w:rFonts w:cs="Times New Roman"/>
          <w:szCs w:val="24"/>
        </w:rPr>
        <w:t xml:space="preserve"> people are more likely to develop heel pressure ulceration due to comorbid conditions which include diabetes mellitus </w:t>
      </w:r>
      <w:r>
        <w:rPr>
          <w:rFonts w:cs="Times New Roman"/>
          <w:szCs w:val="24"/>
        </w:rPr>
        <w:t>and peripheral vascular</w:t>
      </w:r>
      <w:r w:rsidRPr="00B269E7">
        <w:rPr>
          <w:rFonts w:cs="Times New Roman"/>
          <w:szCs w:val="24"/>
        </w:rPr>
        <w:t xml:space="preserve"> disease </w:t>
      </w:r>
      <w:sdt>
        <w:sdtPr>
          <w:rPr>
            <w:rFonts w:cs="Times New Roman"/>
            <w:szCs w:val="24"/>
          </w:rPr>
          <w:id w:val="-99187743"/>
          <w:citation/>
        </w:sdtPr>
        <w:sdtEndPr/>
        <w:sdtContent>
          <w:r w:rsidRPr="00B269E7">
            <w:rPr>
              <w:rFonts w:cs="Times New Roman"/>
              <w:szCs w:val="24"/>
            </w:rPr>
            <w:fldChar w:fldCharType="begin"/>
          </w:r>
          <w:r w:rsidRPr="00B269E7">
            <w:rPr>
              <w:rFonts w:cs="Times New Roman"/>
              <w:szCs w:val="24"/>
            </w:rPr>
            <w:instrText xml:space="preserve"> CITATION Nat14 \l 1033 </w:instrText>
          </w:r>
          <w:r w:rsidRPr="00B269E7">
            <w:rPr>
              <w:rFonts w:cs="Times New Roman"/>
              <w:szCs w:val="24"/>
            </w:rPr>
            <w:fldChar w:fldCharType="separate"/>
          </w:r>
          <w:r w:rsidRPr="00B269E7">
            <w:rPr>
              <w:rFonts w:cs="Times New Roman"/>
              <w:noProof/>
              <w:szCs w:val="24"/>
            </w:rPr>
            <w:t>(National Clinical Guideline Centre, 2014)</w:t>
          </w:r>
          <w:r w:rsidRPr="00B269E7">
            <w:rPr>
              <w:rFonts w:cs="Times New Roman"/>
              <w:szCs w:val="24"/>
            </w:rPr>
            <w:fldChar w:fldCharType="end"/>
          </w:r>
        </w:sdtContent>
      </w:sdt>
      <w:r w:rsidRPr="00B269E7">
        <w:rPr>
          <w:rFonts w:cs="Times New Roman"/>
          <w:szCs w:val="24"/>
        </w:rPr>
        <w:t>. In this particular study, the use of the nerve growth factor showed almos</w:t>
      </w:r>
      <w:r>
        <w:rPr>
          <w:rFonts w:cs="Times New Roman"/>
          <w:szCs w:val="24"/>
        </w:rPr>
        <w:t xml:space="preserve">t a 50 percent reduction in </w:t>
      </w:r>
      <w:r w:rsidRPr="00B269E7">
        <w:rPr>
          <w:rFonts w:cs="Times New Roman"/>
          <w:szCs w:val="24"/>
        </w:rPr>
        <w:t>heel ulcer</w:t>
      </w:r>
      <w:r>
        <w:rPr>
          <w:rFonts w:cs="Times New Roman"/>
          <w:szCs w:val="24"/>
        </w:rPr>
        <w:t>s among the participants</w:t>
      </w:r>
      <w:r w:rsidRPr="00B269E7">
        <w:rPr>
          <w:rFonts w:cs="Times New Roman"/>
          <w:szCs w:val="24"/>
        </w:rPr>
        <w:t xml:space="preserve">. In addition, the healing of this ulcer after the use of nerve growth factor was associated with a significant scar formation which demonstrates a rapid recovery process. Even though most patients involved in this study had underlying peripheral vascular disease due to diabetes mellitus, the researchers suggest that nerve growth factor has wide application in other patients with heel ulcers as well. The second process change that can bring about 80 to 90 percent reliability in preventing and managing heel ulcerations is changing the type of dressing that this hospital has been using in the improvement project that has now run for one year without significant improvement. Use of collagen dressing should instead be embraced since studies has linked it to better patient outcomes when compared to other forms of dressing </w:t>
      </w:r>
      <w:sdt>
        <w:sdtPr>
          <w:rPr>
            <w:rFonts w:cs="Times New Roman"/>
            <w:szCs w:val="24"/>
          </w:rPr>
          <w:id w:val="485826075"/>
          <w:citation/>
        </w:sdtPr>
        <w:sdtEndPr/>
        <w:sdtContent>
          <w:r w:rsidRPr="00B269E7">
            <w:rPr>
              <w:rFonts w:cs="Times New Roman"/>
              <w:szCs w:val="24"/>
            </w:rPr>
            <w:fldChar w:fldCharType="begin"/>
          </w:r>
          <w:r w:rsidRPr="00B269E7">
            <w:rPr>
              <w:rFonts w:cs="Times New Roman"/>
              <w:szCs w:val="24"/>
            </w:rPr>
            <w:instrText xml:space="preserve"> CITATION Nat14 \l 1033 </w:instrText>
          </w:r>
          <w:r w:rsidRPr="00B269E7">
            <w:rPr>
              <w:rFonts w:cs="Times New Roman"/>
              <w:szCs w:val="24"/>
            </w:rPr>
            <w:fldChar w:fldCharType="separate"/>
          </w:r>
          <w:r w:rsidRPr="00B269E7">
            <w:rPr>
              <w:rFonts w:cs="Times New Roman"/>
              <w:noProof/>
              <w:szCs w:val="24"/>
            </w:rPr>
            <w:t>(National Clinical Guideline Centre, 2014)</w:t>
          </w:r>
          <w:r w:rsidRPr="00B269E7">
            <w:rPr>
              <w:rFonts w:cs="Times New Roman"/>
              <w:szCs w:val="24"/>
            </w:rPr>
            <w:fldChar w:fldCharType="end"/>
          </w:r>
        </w:sdtContent>
      </w:sdt>
      <w:r w:rsidRPr="00B269E7">
        <w:rPr>
          <w:rFonts w:cs="Times New Roman"/>
          <w:szCs w:val="24"/>
        </w:rPr>
        <w:t>.</w:t>
      </w:r>
    </w:p>
    <w:p w:rsidR="0076400A" w:rsidRDefault="0076400A" w:rsidP="0076400A">
      <w:pPr>
        <w:spacing w:line="240" w:lineRule="auto"/>
        <w:rPr>
          <w:rFonts w:eastAsia="Times New Roman" w:cs="Times New Roman"/>
          <w:color w:val="333333"/>
          <w:szCs w:val="24"/>
        </w:rPr>
      </w:pPr>
      <w:r>
        <w:rPr>
          <w:rFonts w:eastAsia="Times New Roman" w:cs="Times New Roman"/>
          <w:color w:val="333333"/>
          <w:szCs w:val="24"/>
        </w:rPr>
        <w:t>Additional changes in the process</w:t>
      </w:r>
      <w:r w:rsidRPr="00B269E7">
        <w:rPr>
          <w:rFonts w:eastAsia="Times New Roman" w:cs="Times New Roman"/>
          <w:color w:val="333333"/>
          <w:szCs w:val="24"/>
        </w:rPr>
        <w:t xml:space="preserve"> that would be needed to reach 95 percent reliability include the recruitment of more physicians by this facility in order to improve the management of patients with heel ulcers. In addition, formation of a task force to assess the improvement project and come up with recommendations would greatly boost the efforts of this hospital in the management and prevention of heel ulceration as well as help the hospital reach 95 percent </w:t>
      </w:r>
      <w:r w:rsidRPr="00B269E7">
        <w:rPr>
          <w:rFonts w:eastAsia="Times New Roman" w:cs="Times New Roman"/>
          <w:color w:val="333333"/>
          <w:szCs w:val="24"/>
        </w:rPr>
        <w:lastRenderedPageBreak/>
        <w:t>reliability. Since most heel ulcerations that occur in inpatient care are pressure ulcers, there is need for the management of this hospital to continue boosting her efforts towards getting to the bottom of this problem and this should involve looking into current guidelines in regards to the management of heel ulcerations. Benchmarking in health facilities that have succeeded in this fight is crucial as well.</w:t>
      </w:r>
    </w:p>
    <w:p w:rsidR="0076400A" w:rsidRDefault="0076400A" w:rsidP="0076400A">
      <w:pPr>
        <w:spacing w:line="240" w:lineRule="auto"/>
        <w:rPr>
          <w:rFonts w:eastAsia="Times New Roman" w:cs="Times New Roman"/>
          <w:color w:val="333333"/>
          <w:szCs w:val="24"/>
        </w:rPr>
      </w:pPr>
      <w:r>
        <w:rPr>
          <w:rFonts w:eastAsia="Times New Roman" w:cs="Times New Roman"/>
          <w:color w:val="333333"/>
          <w:szCs w:val="24"/>
        </w:rPr>
        <w:t>These proposed changes can be measured through conducting a survey 2 months after their implementation. The survey will target patients’ records and the hospital staff involved in the management of patients with heel ulceration. Use of questionnaires and interviews will be deployed to collect data while specific measurement will be done through the use of ratio scales for comparison.</w:t>
      </w: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Default="0076400A" w:rsidP="0076400A">
      <w:pPr>
        <w:spacing w:line="240" w:lineRule="auto"/>
        <w:rPr>
          <w:rFonts w:eastAsia="Times New Roman" w:cs="Times New Roman"/>
          <w:color w:val="333333"/>
          <w:szCs w:val="24"/>
        </w:rPr>
      </w:pPr>
    </w:p>
    <w:p w:rsidR="0076400A" w:rsidRPr="00B269E7" w:rsidRDefault="0076400A" w:rsidP="0076400A">
      <w:pPr>
        <w:spacing w:line="240" w:lineRule="auto"/>
        <w:rPr>
          <w:rFonts w:eastAsia="Times New Roman" w:cs="Times New Roman"/>
          <w:color w:val="333333"/>
          <w:szCs w:val="24"/>
        </w:rPr>
      </w:pPr>
    </w:p>
    <w:sdt>
      <w:sdtPr>
        <w:rPr>
          <w:rFonts w:ascii="Times New Roman" w:eastAsiaTheme="minorHAnsi" w:hAnsi="Times New Roman" w:cs="Times New Roman"/>
          <w:color w:val="auto"/>
          <w:sz w:val="24"/>
          <w:szCs w:val="24"/>
        </w:rPr>
        <w:id w:val="1254392502"/>
        <w:docPartObj>
          <w:docPartGallery w:val="Bibliographies"/>
          <w:docPartUnique/>
        </w:docPartObj>
      </w:sdtPr>
      <w:sdtEndPr/>
      <w:sdtContent>
        <w:p w:rsidR="0076400A" w:rsidRPr="00B269E7" w:rsidRDefault="0076400A" w:rsidP="0076400A">
          <w:pPr>
            <w:pStyle w:val="Heading1"/>
            <w:spacing w:line="240" w:lineRule="auto"/>
            <w:jc w:val="center"/>
            <w:rPr>
              <w:rFonts w:ascii="Times New Roman" w:hAnsi="Times New Roman" w:cs="Times New Roman"/>
              <w:color w:val="auto"/>
              <w:sz w:val="24"/>
              <w:szCs w:val="24"/>
            </w:rPr>
          </w:pPr>
          <w:r w:rsidRPr="00B269E7">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76400A" w:rsidRPr="00B269E7" w:rsidRDefault="0076400A" w:rsidP="0076400A">
              <w:pPr>
                <w:pStyle w:val="Bibliography"/>
                <w:spacing w:line="240" w:lineRule="auto"/>
                <w:ind w:left="720" w:hanging="720"/>
                <w:rPr>
                  <w:rFonts w:ascii="Times New Roman" w:hAnsi="Times New Roman" w:cs="Times New Roman"/>
                  <w:noProof/>
                  <w:sz w:val="24"/>
                  <w:szCs w:val="24"/>
                </w:rPr>
              </w:pPr>
              <w:r w:rsidRPr="00B269E7">
                <w:rPr>
                  <w:rFonts w:ascii="Times New Roman" w:hAnsi="Times New Roman" w:cs="Times New Roman"/>
                  <w:sz w:val="24"/>
                  <w:szCs w:val="24"/>
                </w:rPr>
                <w:fldChar w:fldCharType="begin"/>
              </w:r>
              <w:r w:rsidRPr="00B269E7">
                <w:rPr>
                  <w:rFonts w:ascii="Times New Roman" w:hAnsi="Times New Roman" w:cs="Times New Roman"/>
                  <w:sz w:val="24"/>
                  <w:szCs w:val="24"/>
                </w:rPr>
                <w:instrText xml:space="preserve"> BIBLIOGRAPHY </w:instrText>
              </w:r>
              <w:r w:rsidRPr="00B269E7">
                <w:rPr>
                  <w:rFonts w:ascii="Times New Roman" w:hAnsi="Times New Roman" w:cs="Times New Roman"/>
                  <w:sz w:val="24"/>
                  <w:szCs w:val="24"/>
                </w:rPr>
                <w:fldChar w:fldCharType="separate"/>
              </w:r>
              <w:r w:rsidRPr="00B269E7">
                <w:rPr>
                  <w:rFonts w:ascii="Times New Roman" w:hAnsi="Times New Roman" w:cs="Times New Roman"/>
                  <w:noProof/>
                  <w:sz w:val="24"/>
                  <w:szCs w:val="24"/>
                </w:rPr>
                <w:t xml:space="preserve">N, M. (2012, June 2). </w:t>
              </w:r>
              <w:r w:rsidRPr="00B269E7">
                <w:rPr>
                  <w:rFonts w:ascii="Times New Roman" w:hAnsi="Times New Roman" w:cs="Times New Roman"/>
                  <w:i/>
                  <w:iCs/>
                  <w:noProof/>
                  <w:sz w:val="24"/>
                  <w:szCs w:val="24"/>
                </w:rPr>
                <w:t>Preventing and managing heel pressure ulceration: an overview</w:t>
              </w:r>
              <w:r w:rsidRPr="00B269E7">
                <w:rPr>
                  <w:rFonts w:ascii="Times New Roman" w:hAnsi="Times New Roman" w:cs="Times New Roman"/>
                  <w:noProof/>
                  <w:sz w:val="24"/>
                  <w:szCs w:val="24"/>
                </w:rPr>
                <w:t>. Retrieved from NCBI: https://www.ncbi.nlm.nih.gov/pubmed/22875028</w:t>
              </w:r>
            </w:p>
            <w:p w:rsidR="0076400A" w:rsidRPr="00B269E7" w:rsidRDefault="0076400A" w:rsidP="0076400A">
              <w:pPr>
                <w:pStyle w:val="Bibliography"/>
                <w:spacing w:line="240" w:lineRule="auto"/>
                <w:ind w:left="720" w:hanging="720"/>
                <w:rPr>
                  <w:rFonts w:ascii="Times New Roman" w:hAnsi="Times New Roman" w:cs="Times New Roman"/>
                  <w:noProof/>
                  <w:sz w:val="24"/>
                  <w:szCs w:val="24"/>
                </w:rPr>
              </w:pPr>
              <w:r w:rsidRPr="00B269E7">
                <w:rPr>
                  <w:rFonts w:ascii="Times New Roman" w:hAnsi="Times New Roman" w:cs="Times New Roman"/>
                  <w:noProof/>
                  <w:sz w:val="24"/>
                  <w:szCs w:val="24"/>
                </w:rPr>
                <w:t xml:space="preserve">National Clinical Guideline Centre. (2014, May 3). </w:t>
              </w:r>
              <w:r w:rsidRPr="00B269E7">
                <w:rPr>
                  <w:rFonts w:ascii="Times New Roman" w:hAnsi="Times New Roman" w:cs="Times New Roman"/>
                  <w:i/>
                  <w:iCs/>
                  <w:noProof/>
                  <w:sz w:val="24"/>
                  <w:szCs w:val="24"/>
                </w:rPr>
                <w:t>The Prevention and Management of Pressure Ulcers in Primary and Secondary Care</w:t>
              </w:r>
              <w:r w:rsidRPr="00B269E7">
                <w:rPr>
                  <w:rFonts w:ascii="Times New Roman" w:hAnsi="Times New Roman" w:cs="Times New Roman"/>
                  <w:noProof/>
                  <w:sz w:val="24"/>
                  <w:szCs w:val="24"/>
                </w:rPr>
                <w:t>. Retrieved from NCBI: https://www.ncbi.nlm.nih.gov/books/NBK333136/</w:t>
              </w:r>
            </w:p>
            <w:p w:rsidR="0076400A" w:rsidRPr="00B269E7" w:rsidRDefault="0076400A" w:rsidP="0076400A">
              <w:pPr>
                <w:pStyle w:val="Bibliography"/>
                <w:spacing w:line="240" w:lineRule="auto"/>
                <w:ind w:left="720" w:hanging="720"/>
                <w:rPr>
                  <w:rFonts w:ascii="Times New Roman" w:hAnsi="Times New Roman" w:cs="Times New Roman"/>
                  <w:noProof/>
                  <w:sz w:val="24"/>
                  <w:szCs w:val="24"/>
                </w:rPr>
              </w:pPr>
              <w:r w:rsidRPr="00B269E7">
                <w:rPr>
                  <w:rFonts w:ascii="Times New Roman" w:hAnsi="Times New Roman" w:cs="Times New Roman"/>
                  <w:noProof/>
                  <w:sz w:val="24"/>
                  <w:szCs w:val="24"/>
                </w:rPr>
                <w:t xml:space="preserve">Vituri, D. W., &amp; Évora, Y. D. (2014, March 13). </w:t>
              </w:r>
              <w:r w:rsidRPr="00B269E7">
                <w:rPr>
                  <w:rFonts w:ascii="Times New Roman" w:hAnsi="Times New Roman" w:cs="Times New Roman"/>
                  <w:i/>
                  <w:iCs/>
                  <w:noProof/>
                  <w:sz w:val="24"/>
                  <w:szCs w:val="24"/>
                </w:rPr>
                <w:t>Reliability of indicators of nursing care quality: testing interexaminer agreement and reliability</w:t>
              </w:r>
              <w:r w:rsidRPr="00B269E7">
                <w:rPr>
                  <w:rFonts w:ascii="Times New Roman" w:hAnsi="Times New Roman" w:cs="Times New Roman"/>
                  <w:noProof/>
                  <w:sz w:val="24"/>
                  <w:szCs w:val="24"/>
                </w:rPr>
                <w:t>. Retrieved from NCBI: https://www.ncbi.nlm.nih.gov/pmc/articles/PMC4292599/</w:t>
              </w:r>
            </w:p>
            <w:p w:rsidR="0076400A" w:rsidRPr="00B269E7" w:rsidRDefault="0076400A" w:rsidP="0076400A">
              <w:pPr>
                <w:spacing w:line="240" w:lineRule="auto"/>
                <w:rPr>
                  <w:rFonts w:cs="Times New Roman"/>
                  <w:szCs w:val="24"/>
                </w:rPr>
              </w:pPr>
              <w:r w:rsidRPr="00B269E7">
                <w:rPr>
                  <w:rFonts w:cs="Times New Roman"/>
                  <w:b/>
                  <w:bCs/>
                  <w:noProof/>
                  <w:szCs w:val="24"/>
                </w:rPr>
                <w:fldChar w:fldCharType="end"/>
              </w:r>
            </w:p>
          </w:sdtContent>
        </w:sdt>
      </w:sdtContent>
    </w:sdt>
    <w:p w:rsidR="0076400A" w:rsidRPr="00B269E7" w:rsidRDefault="0076400A" w:rsidP="0076400A">
      <w:pPr>
        <w:spacing w:line="240" w:lineRule="auto"/>
        <w:rPr>
          <w:rFonts w:cs="Times New Roman"/>
          <w:szCs w:val="24"/>
        </w:rPr>
      </w:pPr>
    </w:p>
    <w:p w:rsidR="00A65E83" w:rsidRPr="00017CF2" w:rsidRDefault="00A65E83" w:rsidP="00D13E4B">
      <w:pPr>
        <w:spacing w:before="100" w:beforeAutospacing="1" w:after="0" w:line="480" w:lineRule="auto"/>
        <w:ind w:left="360"/>
        <w:rPr>
          <w:rFonts w:eastAsia="Times New Roman" w:cs="Times New Roman"/>
          <w:szCs w:val="24"/>
        </w:rPr>
      </w:pPr>
    </w:p>
    <w:sectPr w:rsidR="00A65E83" w:rsidRPr="00017CF2" w:rsidSect="00C76B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A03" w:rsidRDefault="00F82A03" w:rsidP="00C76BB7">
      <w:pPr>
        <w:spacing w:after="0" w:line="240" w:lineRule="auto"/>
      </w:pPr>
      <w:r>
        <w:separator/>
      </w:r>
    </w:p>
  </w:endnote>
  <w:endnote w:type="continuationSeparator" w:id="0">
    <w:p w:rsidR="00F82A03" w:rsidRDefault="00F82A03" w:rsidP="00C7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aramond-Regular">
    <w:altName w:val="Cambria"/>
    <w:panose1 w:val="00000000000000000000"/>
    <w:charset w:val="00"/>
    <w:family w:val="roman"/>
    <w:notTrueType/>
    <w:pitch w:val="default"/>
  </w:font>
  <w:font w:name="Univers-Condensed">
    <w:altName w:val="Univer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A03" w:rsidRDefault="00F82A03" w:rsidP="00C76BB7">
      <w:pPr>
        <w:spacing w:after="0" w:line="240" w:lineRule="auto"/>
      </w:pPr>
      <w:r>
        <w:separator/>
      </w:r>
    </w:p>
  </w:footnote>
  <w:footnote w:type="continuationSeparator" w:id="0">
    <w:p w:rsidR="00F82A03" w:rsidRDefault="00F82A03" w:rsidP="00C7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76400A">
    <w:pPr>
      <w:pStyle w:val="Header"/>
    </w:pPr>
    <w:r>
      <w:t>MEMO</w:t>
    </w:r>
    <w:r w:rsidR="00C76BB7">
      <w:tab/>
    </w:r>
    <w:r w:rsidR="00C76BB7">
      <w:tab/>
    </w:r>
    <w:r w:rsidR="00C76BB7">
      <w:fldChar w:fldCharType="begin"/>
    </w:r>
    <w:r w:rsidR="00C76BB7">
      <w:instrText xml:space="preserve"> PAGE   \* MERGEFORMAT </w:instrText>
    </w:r>
    <w:r w:rsidR="00C76BB7">
      <w:fldChar w:fldCharType="separate"/>
    </w:r>
    <w:r w:rsidR="0018708D">
      <w:rPr>
        <w:noProof/>
      </w:rPr>
      <w:t>4</w:t>
    </w:r>
    <w:r w:rsidR="00C76BB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76400A">
    <w:pPr>
      <w:pStyle w:val="Header"/>
    </w:pPr>
    <w:r>
      <w:t>Running head: MEMO</w:t>
    </w:r>
    <w:r w:rsidR="00C76BB7">
      <w:tab/>
    </w:r>
    <w:r w:rsidR="00C76BB7">
      <w:tab/>
    </w:r>
    <w:r w:rsidR="00C76BB7">
      <w:fldChar w:fldCharType="begin"/>
    </w:r>
    <w:r w:rsidR="00C76BB7">
      <w:instrText xml:space="preserve"> PAGE   \* MERGEFORMAT </w:instrText>
    </w:r>
    <w:r w:rsidR="00C76BB7">
      <w:fldChar w:fldCharType="separate"/>
    </w:r>
    <w:r w:rsidR="0018708D">
      <w:rPr>
        <w:noProof/>
      </w:rPr>
      <w:t>1</w:t>
    </w:r>
    <w:r w:rsidR="00C76BB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9A1414"/>
    <w:multiLevelType w:val="multilevel"/>
    <w:tmpl w:val="F1B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50"/>
    <w:rsid w:val="00016434"/>
    <w:rsid w:val="00017CF2"/>
    <w:rsid w:val="00037029"/>
    <w:rsid w:val="0005145E"/>
    <w:rsid w:val="00052865"/>
    <w:rsid w:val="00061286"/>
    <w:rsid w:val="000D4D4C"/>
    <w:rsid w:val="000E0FAA"/>
    <w:rsid w:val="000F1571"/>
    <w:rsid w:val="00104990"/>
    <w:rsid w:val="00133313"/>
    <w:rsid w:val="0013485F"/>
    <w:rsid w:val="0014159C"/>
    <w:rsid w:val="00147867"/>
    <w:rsid w:val="00151658"/>
    <w:rsid w:val="0016305A"/>
    <w:rsid w:val="001711F9"/>
    <w:rsid w:val="00176ADE"/>
    <w:rsid w:val="0018708D"/>
    <w:rsid w:val="00187AD0"/>
    <w:rsid w:val="001A0AF1"/>
    <w:rsid w:val="001A33CD"/>
    <w:rsid w:val="001B09B1"/>
    <w:rsid w:val="001B625F"/>
    <w:rsid w:val="001C32B4"/>
    <w:rsid w:val="001E4631"/>
    <w:rsid w:val="001F3984"/>
    <w:rsid w:val="001F5A14"/>
    <w:rsid w:val="0020008A"/>
    <w:rsid w:val="00205782"/>
    <w:rsid w:val="00230009"/>
    <w:rsid w:val="00236C8E"/>
    <w:rsid w:val="00243BD7"/>
    <w:rsid w:val="002647D8"/>
    <w:rsid w:val="00273A35"/>
    <w:rsid w:val="00277D4C"/>
    <w:rsid w:val="00284E85"/>
    <w:rsid w:val="002C141F"/>
    <w:rsid w:val="002D523D"/>
    <w:rsid w:val="002D5AEF"/>
    <w:rsid w:val="003009BF"/>
    <w:rsid w:val="00342CE1"/>
    <w:rsid w:val="00374C7C"/>
    <w:rsid w:val="00396ED5"/>
    <w:rsid w:val="003B6B1B"/>
    <w:rsid w:val="003F5A79"/>
    <w:rsid w:val="00407DA2"/>
    <w:rsid w:val="00412A08"/>
    <w:rsid w:val="00436F15"/>
    <w:rsid w:val="00440355"/>
    <w:rsid w:val="00440EAF"/>
    <w:rsid w:val="00442760"/>
    <w:rsid w:val="00446941"/>
    <w:rsid w:val="004530F4"/>
    <w:rsid w:val="0047192D"/>
    <w:rsid w:val="0047403C"/>
    <w:rsid w:val="0047661B"/>
    <w:rsid w:val="00482B19"/>
    <w:rsid w:val="004A1F42"/>
    <w:rsid w:val="004B2ECF"/>
    <w:rsid w:val="004B63D4"/>
    <w:rsid w:val="004E3D86"/>
    <w:rsid w:val="004E4DC2"/>
    <w:rsid w:val="004F7572"/>
    <w:rsid w:val="0050115E"/>
    <w:rsid w:val="005073E2"/>
    <w:rsid w:val="00520A00"/>
    <w:rsid w:val="00527315"/>
    <w:rsid w:val="00544D63"/>
    <w:rsid w:val="0057290D"/>
    <w:rsid w:val="005847EB"/>
    <w:rsid w:val="00596926"/>
    <w:rsid w:val="005A6577"/>
    <w:rsid w:val="005D66CA"/>
    <w:rsid w:val="005E0917"/>
    <w:rsid w:val="005E36E1"/>
    <w:rsid w:val="005E436B"/>
    <w:rsid w:val="005E4FEC"/>
    <w:rsid w:val="005E6EB5"/>
    <w:rsid w:val="006101D0"/>
    <w:rsid w:val="006203AD"/>
    <w:rsid w:val="00635113"/>
    <w:rsid w:val="00643DCD"/>
    <w:rsid w:val="00647FAD"/>
    <w:rsid w:val="006558F6"/>
    <w:rsid w:val="006905B1"/>
    <w:rsid w:val="006B1F58"/>
    <w:rsid w:val="006C1174"/>
    <w:rsid w:val="006D6E2A"/>
    <w:rsid w:val="006E44AF"/>
    <w:rsid w:val="00701C2F"/>
    <w:rsid w:val="00712196"/>
    <w:rsid w:val="0071565F"/>
    <w:rsid w:val="00716089"/>
    <w:rsid w:val="007172B8"/>
    <w:rsid w:val="00740974"/>
    <w:rsid w:val="00755C1A"/>
    <w:rsid w:val="0076400A"/>
    <w:rsid w:val="007661FD"/>
    <w:rsid w:val="007A2E50"/>
    <w:rsid w:val="007A43B3"/>
    <w:rsid w:val="007C2A72"/>
    <w:rsid w:val="007D3A89"/>
    <w:rsid w:val="007D518D"/>
    <w:rsid w:val="007E7A49"/>
    <w:rsid w:val="008223ED"/>
    <w:rsid w:val="008376FB"/>
    <w:rsid w:val="008476EC"/>
    <w:rsid w:val="0085655A"/>
    <w:rsid w:val="00870FF9"/>
    <w:rsid w:val="008765D1"/>
    <w:rsid w:val="008A3E50"/>
    <w:rsid w:val="008B22DA"/>
    <w:rsid w:val="008D5F8E"/>
    <w:rsid w:val="008F7826"/>
    <w:rsid w:val="00906286"/>
    <w:rsid w:val="009155C1"/>
    <w:rsid w:val="00945383"/>
    <w:rsid w:val="00955088"/>
    <w:rsid w:val="009651B8"/>
    <w:rsid w:val="0098516E"/>
    <w:rsid w:val="00986105"/>
    <w:rsid w:val="00987871"/>
    <w:rsid w:val="009956FB"/>
    <w:rsid w:val="009963C3"/>
    <w:rsid w:val="009A0D37"/>
    <w:rsid w:val="009E0AD0"/>
    <w:rsid w:val="009E128C"/>
    <w:rsid w:val="00A12049"/>
    <w:rsid w:val="00A207F3"/>
    <w:rsid w:val="00A23290"/>
    <w:rsid w:val="00A52366"/>
    <w:rsid w:val="00A65E83"/>
    <w:rsid w:val="00A94D11"/>
    <w:rsid w:val="00AA3EDE"/>
    <w:rsid w:val="00AB14DB"/>
    <w:rsid w:val="00AD35CA"/>
    <w:rsid w:val="00AD50F1"/>
    <w:rsid w:val="00B07AC5"/>
    <w:rsid w:val="00B133C7"/>
    <w:rsid w:val="00B313DE"/>
    <w:rsid w:val="00B33D64"/>
    <w:rsid w:val="00B34674"/>
    <w:rsid w:val="00B503C2"/>
    <w:rsid w:val="00B72C89"/>
    <w:rsid w:val="00B73916"/>
    <w:rsid w:val="00B85775"/>
    <w:rsid w:val="00B9786A"/>
    <w:rsid w:val="00BB324B"/>
    <w:rsid w:val="00BC0979"/>
    <w:rsid w:val="00BC4023"/>
    <w:rsid w:val="00BD2901"/>
    <w:rsid w:val="00BE6C9A"/>
    <w:rsid w:val="00C15643"/>
    <w:rsid w:val="00C16ABD"/>
    <w:rsid w:val="00C16ECF"/>
    <w:rsid w:val="00C52BB6"/>
    <w:rsid w:val="00C55D3D"/>
    <w:rsid w:val="00C56001"/>
    <w:rsid w:val="00C62A5E"/>
    <w:rsid w:val="00C64BBE"/>
    <w:rsid w:val="00C76BB7"/>
    <w:rsid w:val="00CA3E26"/>
    <w:rsid w:val="00CB79DD"/>
    <w:rsid w:val="00CE617A"/>
    <w:rsid w:val="00CF226B"/>
    <w:rsid w:val="00CF2CF0"/>
    <w:rsid w:val="00D13E4B"/>
    <w:rsid w:val="00D14DA4"/>
    <w:rsid w:val="00D3077C"/>
    <w:rsid w:val="00D47E8E"/>
    <w:rsid w:val="00D756D8"/>
    <w:rsid w:val="00D828FE"/>
    <w:rsid w:val="00D8550A"/>
    <w:rsid w:val="00D94ABC"/>
    <w:rsid w:val="00D966AA"/>
    <w:rsid w:val="00DB21CD"/>
    <w:rsid w:val="00DB6326"/>
    <w:rsid w:val="00DC1D62"/>
    <w:rsid w:val="00DD7DEC"/>
    <w:rsid w:val="00DF0DA4"/>
    <w:rsid w:val="00E35FC9"/>
    <w:rsid w:val="00E55BAE"/>
    <w:rsid w:val="00E77083"/>
    <w:rsid w:val="00E82A92"/>
    <w:rsid w:val="00E9627F"/>
    <w:rsid w:val="00EB71D7"/>
    <w:rsid w:val="00EC553F"/>
    <w:rsid w:val="00EF7648"/>
    <w:rsid w:val="00F2213D"/>
    <w:rsid w:val="00F25BA6"/>
    <w:rsid w:val="00F27FEB"/>
    <w:rsid w:val="00F358E3"/>
    <w:rsid w:val="00F4491F"/>
    <w:rsid w:val="00F61513"/>
    <w:rsid w:val="00F73D68"/>
    <w:rsid w:val="00F82A03"/>
    <w:rsid w:val="00FB2392"/>
    <w:rsid w:val="00FD1B21"/>
    <w:rsid w:val="00FD7543"/>
    <w:rsid w:val="00FE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57D5-1CD6-4979-854E-E6F030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40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786A"/>
    <w:rPr>
      <w:rFonts w:ascii="Symbol" w:hAnsi="Symbol" w:hint="default"/>
      <w:b w:val="0"/>
      <w:bCs w:val="0"/>
      <w:i w:val="0"/>
      <w:iCs w:val="0"/>
      <w:color w:val="231F20"/>
      <w:sz w:val="18"/>
      <w:szCs w:val="18"/>
    </w:rPr>
  </w:style>
  <w:style w:type="character" w:customStyle="1" w:styleId="fontstyle11">
    <w:name w:val="fontstyle11"/>
    <w:basedOn w:val="DefaultParagraphFont"/>
    <w:rsid w:val="00B9786A"/>
    <w:rPr>
      <w:rFonts w:ascii="AGaramond-Regular" w:hAnsi="AGaramond-Regular" w:hint="default"/>
      <w:b w:val="0"/>
      <w:bCs w:val="0"/>
      <w:i w:val="0"/>
      <w:iCs w:val="0"/>
      <w:color w:val="231F20"/>
      <w:sz w:val="18"/>
      <w:szCs w:val="18"/>
    </w:rPr>
  </w:style>
  <w:style w:type="character" w:customStyle="1" w:styleId="fontstyle31">
    <w:name w:val="fontstyle31"/>
    <w:basedOn w:val="DefaultParagraphFont"/>
    <w:rsid w:val="00F25BA6"/>
    <w:rPr>
      <w:rFonts w:ascii="Univers-Condensed" w:hAnsi="Univers-Condensed" w:hint="default"/>
      <w:b w:val="0"/>
      <w:bCs w:val="0"/>
      <w:i w:val="0"/>
      <w:iCs w:val="0"/>
      <w:color w:val="231F20"/>
      <w:sz w:val="14"/>
      <w:szCs w:val="14"/>
    </w:rPr>
  </w:style>
  <w:style w:type="paragraph" w:styleId="Header">
    <w:name w:val="header"/>
    <w:basedOn w:val="Normal"/>
    <w:link w:val="HeaderChar"/>
    <w:uiPriority w:val="99"/>
    <w:unhideWhenUsed/>
    <w:rsid w:val="00C7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B7"/>
  </w:style>
  <w:style w:type="paragraph" w:styleId="Footer">
    <w:name w:val="footer"/>
    <w:basedOn w:val="Normal"/>
    <w:link w:val="FooterChar"/>
    <w:uiPriority w:val="99"/>
    <w:unhideWhenUsed/>
    <w:rsid w:val="00C7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B7"/>
  </w:style>
  <w:style w:type="character" w:customStyle="1" w:styleId="Heading1Char">
    <w:name w:val="Heading 1 Char"/>
    <w:basedOn w:val="DefaultParagraphFont"/>
    <w:link w:val="Heading1"/>
    <w:uiPriority w:val="9"/>
    <w:rsid w:val="0076400A"/>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76400A"/>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263">
      <w:bodyDiv w:val="1"/>
      <w:marLeft w:val="0"/>
      <w:marRight w:val="0"/>
      <w:marTop w:val="0"/>
      <w:marBottom w:val="0"/>
      <w:divBdr>
        <w:top w:val="none" w:sz="0" w:space="0" w:color="auto"/>
        <w:left w:val="none" w:sz="0" w:space="0" w:color="auto"/>
        <w:bottom w:val="none" w:sz="0" w:space="0" w:color="auto"/>
        <w:right w:val="none" w:sz="0" w:space="0" w:color="auto"/>
      </w:divBdr>
      <w:divsChild>
        <w:div w:id="432634756">
          <w:marLeft w:val="0"/>
          <w:marRight w:val="0"/>
          <w:marTop w:val="0"/>
          <w:marBottom w:val="0"/>
          <w:divBdr>
            <w:top w:val="none" w:sz="0" w:space="0" w:color="auto"/>
            <w:left w:val="none" w:sz="0" w:space="0" w:color="auto"/>
            <w:bottom w:val="none" w:sz="0" w:space="0" w:color="auto"/>
            <w:right w:val="none" w:sz="0" w:space="0" w:color="auto"/>
          </w:divBdr>
        </w:div>
      </w:divsChild>
    </w:div>
    <w:div w:id="623923820">
      <w:bodyDiv w:val="1"/>
      <w:marLeft w:val="0"/>
      <w:marRight w:val="0"/>
      <w:marTop w:val="0"/>
      <w:marBottom w:val="0"/>
      <w:divBdr>
        <w:top w:val="none" w:sz="0" w:space="0" w:color="auto"/>
        <w:left w:val="none" w:sz="0" w:space="0" w:color="auto"/>
        <w:bottom w:val="none" w:sz="0" w:space="0" w:color="auto"/>
        <w:right w:val="none" w:sz="0" w:space="0" w:color="auto"/>
      </w:divBdr>
      <w:divsChild>
        <w:div w:id="1550649132">
          <w:marLeft w:val="0"/>
          <w:marRight w:val="0"/>
          <w:marTop w:val="0"/>
          <w:marBottom w:val="0"/>
          <w:divBdr>
            <w:top w:val="none" w:sz="0" w:space="0" w:color="auto"/>
            <w:left w:val="none" w:sz="0" w:space="0" w:color="auto"/>
            <w:bottom w:val="none" w:sz="0" w:space="0" w:color="auto"/>
            <w:right w:val="none" w:sz="0" w:space="0" w:color="auto"/>
          </w:divBdr>
        </w:div>
      </w:divsChild>
    </w:div>
    <w:div w:id="1109353369">
      <w:bodyDiv w:val="1"/>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 w:id="1511216349">
      <w:bodyDiv w:val="1"/>
      <w:marLeft w:val="0"/>
      <w:marRight w:val="0"/>
      <w:marTop w:val="0"/>
      <w:marBottom w:val="0"/>
      <w:divBdr>
        <w:top w:val="none" w:sz="0" w:space="0" w:color="auto"/>
        <w:left w:val="none" w:sz="0" w:space="0" w:color="auto"/>
        <w:bottom w:val="none" w:sz="0" w:space="0" w:color="auto"/>
        <w:right w:val="none" w:sz="0" w:space="0" w:color="auto"/>
      </w:divBdr>
      <w:divsChild>
        <w:div w:id="1756779832">
          <w:marLeft w:val="0"/>
          <w:marRight w:val="0"/>
          <w:marTop w:val="0"/>
          <w:marBottom w:val="0"/>
          <w:divBdr>
            <w:top w:val="none" w:sz="0" w:space="0" w:color="auto"/>
            <w:left w:val="none" w:sz="0" w:space="0" w:color="auto"/>
            <w:bottom w:val="none" w:sz="0" w:space="0" w:color="auto"/>
            <w:right w:val="none" w:sz="0" w:space="0" w:color="auto"/>
          </w:divBdr>
        </w:div>
      </w:divsChild>
    </w:div>
    <w:div w:id="1680541442">
      <w:bodyDiv w:val="1"/>
      <w:marLeft w:val="0"/>
      <w:marRight w:val="0"/>
      <w:marTop w:val="0"/>
      <w:marBottom w:val="0"/>
      <w:divBdr>
        <w:top w:val="none" w:sz="0" w:space="0" w:color="auto"/>
        <w:left w:val="none" w:sz="0" w:space="0" w:color="auto"/>
        <w:bottom w:val="none" w:sz="0" w:space="0" w:color="auto"/>
        <w:right w:val="none" w:sz="0" w:space="0" w:color="auto"/>
      </w:divBdr>
      <w:divsChild>
        <w:div w:id="806092869">
          <w:marLeft w:val="0"/>
          <w:marRight w:val="0"/>
          <w:marTop w:val="0"/>
          <w:marBottom w:val="0"/>
          <w:divBdr>
            <w:top w:val="none" w:sz="0" w:space="0" w:color="auto"/>
            <w:left w:val="none" w:sz="0" w:space="0" w:color="auto"/>
            <w:bottom w:val="none" w:sz="0" w:space="0" w:color="auto"/>
            <w:right w:val="none" w:sz="0" w:space="0" w:color="auto"/>
          </w:divBdr>
        </w:div>
      </w:divsChild>
    </w:div>
    <w:div w:id="1853300087">
      <w:bodyDiv w:val="1"/>
      <w:marLeft w:val="0"/>
      <w:marRight w:val="0"/>
      <w:marTop w:val="0"/>
      <w:marBottom w:val="0"/>
      <w:divBdr>
        <w:top w:val="none" w:sz="0" w:space="0" w:color="auto"/>
        <w:left w:val="none" w:sz="0" w:space="0" w:color="auto"/>
        <w:bottom w:val="none" w:sz="0" w:space="0" w:color="auto"/>
        <w:right w:val="none" w:sz="0" w:space="0" w:color="auto"/>
      </w:divBdr>
      <w:divsChild>
        <w:div w:id="72679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Vit14</b:Tag>
    <b:SourceType>InternetSite</b:SourceType>
    <b:Guid>{45F27512-4083-42E7-9476-7FBFBAA43AFB}</b:Guid>
    <b:Title>Reliability of indicators of nursing care quality: testing interexaminer agreement and reliability</b:Title>
    <b:InternetSiteTitle>NCBI</b:InternetSiteTitle>
    <b:Year>2014</b:Year>
    <b:Month>March</b:Month>
    <b:Day>13</b:Day>
    <b:URL>https://www.ncbi.nlm.nih.gov/pmc/articles/PMC4292599/</b:URL>
    <b:Author>
      <b:Author>
        <b:NameList>
          <b:Person>
            <b:Last>Vituri</b:Last>
            <b:Middle>Willamowius </b:Middle>
            <b:First>Dagmar </b:First>
          </b:Person>
          <b:Person>
            <b:Last> Évora</b:Last>
            <b:Middle>Dora Martinez</b:Middle>
            <b:First>Yolanda </b:First>
          </b:Person>
        </b:NameList>
      </b:Author>
    </b:Author>
    <b:RefOrder>1</b:RefOrder>
  </b:Source>
  <b:Source>
    <b:Tag>NMo12</b:Tag>
    <b:SourceType>InternetSite</b:SourceType>
    <b:Guid>{30DBFE21-B7E6-4971-B57A-5DEF964733CF}</b:Guid>
    <b:Title>Preventing and managing heel pressure ulceration: an overview</b:Title>
    <b:InternetSiteTitle>NCBI</b:InternetSiteTitle>
    <b:Year>2012</b:Year>
    <b:Month>June</b:Month>
    <b:Day>2</b:Day>
    <b:URL>https://www.ncbi.nlm.nih.gov/pubmed/22875028</b:URL>
    <b:Author>
      <b:Author>
        <b:NameList>
          <b:Person>
            <b:Last>N</b:Last>
            <b:First>Morton</b:First>
          </b:Person>
        </b:NameList>
      </b:Author>
    </b:Author>
    <b:RefOrder>2</b:RefOrder>
  </b:Source>
  <b:Source>
    <b:Tag>Nat14</b:Tag>
    <b:SourceType>InternetSite</b:SourceType>
    <b:Guid>{43193907-E15E-42C2-8E22-51B7581B36F3}</b:Guid>
    <b:Title>The Prevention and Management of Pressure Ulcers in Primary and Secondary Care</b:Title>
    <b:InternetSiteTitle>NCBI</b:InternetSiteTitle>
    <b:Year>2014</b:Year>
    <b:Month>May</b:Month>
    <b:Day>3</b:Day>
    <b:URL>https://www.ncbi.nlm.nih.gov/books/NBK333136/</b:URL>
    <b:Author>
      <b:Author>
        <b:NameList>
          <b:Person>
            <b:Last>National Clinical Guideline Centre</b:Last>
          </b:Person>
        </b:NameList>
      </b:Author>
    </b:Author>
    <b:RefOrder>3</b:RefOrder>
  </b:Source>
</b:Sources>
</file>

<file path=customXml/itemProps1.xml><?xml version="1.0" encoding="utf-8"?>
<ds:datastoreItem xmlns:ds="http://schemas.openxmlformats.org/officeDocument/2006/customXml" ds:itemID="{9C6C31F8-63EF-48AC-B088-560F032BF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Iante</dc:creator>
  <cp:keywords/>
  <dc:description/>
  <cp:lastModifiedBy>Prof Scofied</cp:lastModifiedBy>
  <cp:revision>2</cp:revision>
  <dcterms:created xsi:type="dcterms:W3CDTF">2018-10-16T18:08:00Z</dcterms:created>
  <dcterms:modified xsi:type="dcterms:W3CDTF">2018-10-16T18:08:00Z</dcterms:modified>
</cp:coreProperties>
</file>